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466B5C" w:rsidP="00466B5C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4E35AF">
              <w:rPr>
                <w:lang w:val="en-GB"/>
              </w:rPr>
              <w:t>2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Decemb</w:t>
            </w:r>
            <w:r w:rsidR="00550785">
              <w:rPr>
                <w:lang w:val="en-GB"/>
              </w:rPr>
              <w:t xml:space="preserve">er </w:t>
            </w:r>
            <w:r w:rsidR="00E746A5">
              <w:rPr>
                <w:lang w:val="en-GB"/>
              </w:rPr>
              <w:t>2011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940362" w:rsidP="0094036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09.00 GMT/</w:t>
            </w:r>
            <w:r w:rsidR="004E35AF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BA484D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466B5C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FB039F" w:rsidRPr="00D9202B">
              <w:rPr>
                <w:lang w:val="en-GB"/>
              </w:rPr>
              <w:t>Bernd Schuppener</w:t>
            </w:r>
            <w:r w:rsidR="00FB039F">
              <w:rPr>
                <w:lang w:val="en-GB"/>
              </w:rPr>
              <w:t xml:space="preserve"> (BS), Roger Frank (RF), Leendert Buth (LB)</w:t>
            </w:r>
            <w:r w:rsidR="004E35AF">
              <w:rPr>
                <w:lang w:val="en-GB"/>
              </w:rPr>
              <w:t>, Trevor Orr (TO)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466B5C" w:rsidP="00FB039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Giuseppe Scarpelli (GS</w:t>
            </w:r>
            <w:r w:rsidRPr="00A90DA2">
              <w:rPr>
                <w:lang w:val="en-GB"/>
              </w:rPr>
              <w:t>),</w:t>
            </w:r>
          </w:p>
        </w:tc>
      </w:tr>
      <w:tr w:rsidR="00900EB4" w:rsidTr="00A121B4">
        <w:trPr>
          <w:trHeight w:hRule="exact" w:val="641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211623" w:rsidRDefault="00FB039F" w:rsidP="00200CA4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TC250-SC7-EG0 Notes of meeting </w:t>
            </w:r>
            <w:r w:rsidR="00550785">
              <w:rPr>
                <w:lang w:val="en-GB"/>
              </w:rPr>
              <w:t>2011-</w:t>
            </w:r>
            <w:r w:rsidR="00200CA4">
              <w:rPr>
                <w:lang w:val="en-GB"/>
              </w:rPr>
              <w:t>1</w:t>
            </w:r>
            <w:r w:rsidR="00550785">
              <w:rPr>
                <w:lang w:val="en-GB"/>
              </w:rPr>
              <w:t>0-</w:t>
            </w:r>
            <w:r w:rsidR="00200CA4">
              <w:rPr>
                <w:lang w:val="en-GB"/>
              </w:rPr>
              <w:t>24</w:t>
            </w:r>
            <w:r>
              <w:rPr>
                <w:lang w:val="en-GB"/>
              </w:rPr>
              <w:t>.docx</w:t>
            </w:r>
          </w:p>
          <w:p w:rsidR="001F5CE5" w:rsidRPr="00200CA4" w:rsidRDefault="001F5CE5" w:rsidP="001F5CE5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Concept for a simplification of EC7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90771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FB039F" w:rsidP="00466B5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Notes of previous EG0 meeting on </w:t>
            </w:r>
            <w:r w:rsidR="00466B5C">
              <w:rPr>
                <w:lang w:val="en-GB"/>
              </w:rPr>
              <w:t>24</w:t>
            </w:r>
            <w:r w:rsidR="004E35AF" w:rsidRPr="004E35AF">
              <w:rPr>
                <w:vertAlign w:val="superscript"/>
                <w:lang w:val="en-GB"/>
              </w:rPr>
              <w:t>th</w:t>
            </w:r>
            <w:r w:rsidR="004E35AF">
              <w:rPr>
                <w:lang w:val="en-GB"/>
              </w:rPr>
              <w:t xml:space="preserve"> </w:t>
            </w:r>
            <w:r w:rsidR="00466B5C">
              <w:rPr>
                <w:lang w:val="en-GB"/>
              </w:rPr>
              <w:t>October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D9202B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211623" w:rsidP="00466B5C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MinuteTopicSection"/>
            <w:bookmarkEnd w:id="1"/>
            <w:r>
              <w:rPr>
                <w:lang w:val="en-GB"/>
              </w:rPr>
              <w:t xml:space="preserve">Meeting report: </w:t>
            </w:r>
            <w:r w:rsidR="004E35AF">
              <w:rPr>
                <w:lang w:val="en-GB"/>
              </w:rPr>
              <w:t>TC2</w:t>
            </w:r>
            <w:r>
              <w:rPr>
                <w:lang w:val="en-GB"/>
              </w:rPr>
              <w:t>5</w:t>
            </w:r>
            <w:r w:rsidR="004E35AF">
              <w:rPr>
                <w:lang w:val="en-GB"/>
              </w:rPr>
              <w:t>0</w:t>
            </w:r>
            <w:r w:rsidR="00466B5C">
              <w:rPr>
                <w:lang w:val="en-GB"/>
              </w:rPr>
              <w:t xml:space="preserve"> </w:t>
            </w:r>
            <w:r w:rsidR="004E35AF">
              <w:rPr>
                <w:lang w:val="en-GB"/>
              </w:rPr>
              <w:t>in P</w:t>
            </w:r>
            <w:r w:rsidR="00466B5C">
              <w:rPr>
                <w:lang w:val="en-GB"/>
              </w:rPr>
              <w:t xml:space="preserve">rague </w:t>
            </w:r>
            <w:r w:rsidR="00550785">
              <w:rPr>
                <w:lang w:val="en-GB"/>
              </w:rPr>
              <w:t xml:space="preserve">on </w:t>
            </w:r>
            <w:r w:rsidR="00466B5C">
              <w:rPr>
                <w:lang w:val="en-GB"/>
              </w:rPr>
              <w:t>14</w:t>
            </w:r>
            <w:r w:rsidR="00466B5C" w:rsidRPr="00550785">
              <w:rPr>
                <w:vertAlign w:val="superscript"/>
                <w:lang w:val="en-GB"/>
              </w:rPr>
              <w:t>th</w:t>
            </w:r>
            <w:r w:rsidR="00466B5C">
              <w:rPr>
                <w:lang w:val="en-GB"/>
              </w:rPr>
              <w:t>-15</w:t>
            </w:r>
            <w:r w:rsidR="00466B5C" w:rsidRPr="00550785">
              <w:rPr>
                <w:vertAlign w:val="superscript"/>
                <w:lang w:val="en-GB"/>
              </w:rPr>
              <w:t>th</w:t>
            </w:r>
            <w:r w:rsidR="00466B5C">
              <w:rPr>
                <w:lang w:val="en-GB"/>
              </w:rPr>
              <w:t xml:space="preserve"> November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466B5C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466B5C" w:rsidP="0055078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Meeting report: ECSMFE Athens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466B5C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A35F49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11623">
              <w:rPr>
                <w:lang w:val="en-GB"/>
              </w:rPr>
              <w:t>0</w:t>
            </w: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FB039F" w:rsidP="009E527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 Anchors</w:t>
            </w:r>
            <w:r w:rsidR="009E527D">
              <w:rPr>
                <w:lang w:val="en-GB"/>
              </w:rPr>
              <w:t xml:space="preserve"> (Eric Farrell)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550785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E527D" w:rsidP="0021162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0EB4" w:rsidTr="002D7B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E527D" w:rsidP="009E527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EG2 Maintenance and simplification (Bernd Schuppener)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EG3 Model solutions (Trevor Orr)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EG4 Numerical methods (Andrew Lees)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EG5 Reinforced soil (Martin Vanicek)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EG6 Seismic design (Giuseppe Scarpelli)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(GS)/AB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EG7 Pile design (Christian Moorman)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B039F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Pr="00A90DA2" w:rsidRDefault="009E527D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EG8 Harmonization (Andrew Bond)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466B5C">
              <w:rPr>
                <w:lang w:val="en-GB"/>
              </w:rPr>
              <w:t>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EG9 Water pressures (Norbert Vogt)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EG10 Calculation models (</w:t>
            </w:r>
            <w:proofErr w:type="spellStart"/>
            <w:r>
              <w:rPr>
                <w:lang w:val="en-GB"/>
              </w:rPr>
              <w:t>tba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EG11 Characterization (</w:t>
            </w:r>
            <w:proofErr w:type="spellStart"/>
            <w:r>
              <w:rPr>
                <w:lang w:val="en-GB"/>
              </w:rPr>
              <w:t>Lovisa</w:t>
            </w:r>
            <w:proofErr w:type="spellEnd"/>
            <w:r>
              <w:rPr>
                <w:lang w:val="en-GB"/>
              </w:rPr>
              <w:t xml:space="preserve"> Moritz)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EG12 Tunnelling (</w:t>
            </w:r>
            <w:proofErr w:type="spellStart"/>
            <w:r>
              <w:rPr>
                <w:lang w:val="en-GB"/>
              </w:rPr>
              <w:t>tba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EG13 Rock mechanics (John Harrison)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B039F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Pr="00A90DA2" w:rsidRDefault="00FB039F" w:rsidP="0021162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Future meeting: </w:t>
            </w:r>
            <w:r w:rsidR="00211623">
              <w:rPr>
                <w:lang w:val="en-GB"/>
              </w:rPr>
              <w:t>next SC7 meeting Netherlands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550785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211623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623" w:rsidRDefault="00211623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ISSMGE webinar 19</w:t>
            </w:r>
            <w:r w:rsidRPr="0021162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December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623" w:rsidRDefault="00211623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623" w:rsidRDefault="00211623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46A5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6A5" w:rsidRDefault="00FB039F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6A5" w:rsidRDefault="00FB039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</w:t>
            </w:r>
            <w:r w:rsidR="00D9202B">
              <w:rPr>
                <w:lang w:val="en-GB"/>
              </w:rPr>
              <w:t>A</w:t>
            </w:r>
            <w:r>
              <w:rPr>
                <w:lang w:val="en-GB"/>
              </w:rPr>
              <w:t>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6A5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B039F" w:rsidTr="00FB03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039F" w:rsidRDefault="00FB039F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 of next meeting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039F" w:rsidRDefault="00FB039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039F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B41DEA" w:rsidRDefault="00B41DEA" w:rsidP="00B41DEA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Notes of meeting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49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21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 w:rsidRPr="00B41DEA">
              <w:rPr>
                <w:b/>
                <w:lang w:val="en-GB"/>
              </w:rPr>
              <w:t>Due by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8A0F3C" w:rsidP="00B41DE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1. CEC/BT has passed a resolution requiring NSBs to provide their NAs for the evolution groups on harmonization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8A0F3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1DEA" w:rsidRDefault="008A0F3C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8A0F3C" w:rsidP="0089271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2. RF reported on TC250 meeting in Prague: Commission has commented on Mandate for Evolution and wants three packages on 1) EC0, 1, 7, 8, Existing Structures; 2) Specific materials, HGs on Fire and Bridges; and 3) </w:t>
            </w:r>
            <w:proofErr w:type="spellStart"/>
            <w:r>
              <w:rPr>
                <w:lang w:val="en-GB"/>
              </w:rPr>
              <w:t>xxxx</w:t>
            </w:r>
            <w:proofErr w:type="spellEnd"/>
            <w:r>
              <w:rPr>
                <w:lang w:val="en-GB"/>
              </w:rPr>
              <w:t>. Priorities have not been set. Need to read final notes of TC250 Meeting for precise decision. Work on Mandate will NOT begin until mid 2013.</w:t>
            </w:r>
            <w:r w:rsidR="00436962">
              <w:rPr>
                <w:lang w:val="en-GB"/>
              </w:rPr>
              <w:t xml:space="preserve"> Historical Structures ha</w:t>
            </w:r>
            <w:r w:rsidR="0089271C">
              <w:rPr>
                <w:lang w:val="en-GB"/>
              </w:rPr>
              <w:t>ve</w:t>
            </w:r>
            <w:r w:rsidR="00436962">
              <w:rPr>
                <w:lang w:val="en-GB"/>
              </w:rPr>
              <w:t xml:space="preserve"> been re-added to ‘Existing Structures’ (</w:t>
            </w:r>
            <w:proofErr w:type="spellStart"/>
            <w:r w:rsidR="00436962">
              <w:rPr>
                <w:lang w:val="en-GB"/>
              </w:rPr>
              <w:t>cf</w:t>
            </w:r>
            <w:proofErr w:type="spellEnd"/>
            <w:r w:rsidR="00436962">
              <w:rPr>
                <w:lang w:val="en-GB"/>
              </w:rPr>
              <w:t xml:space="preserve"> TC346). Eurocodes are exempt from consolidation – i.e. amendments and corrigenda do NOT have to be incorporated into the original publication. Some countries do this (e.g. UK and Germany), some do not (e.g. Belgium).</w:t>
            </w:r>
            <w:r w:rsidR="0089271C">
              <w:rPr>
                <w:lang w:val="en-GB"/>
              </w:rPr>
              <w:t xml:space="preserve"> JRC Help Desk – questions must first be dealt with by NSBs, then to TC250, then to SCs. </w:t>
            </w:r>
            <w:r w:rsidR="0089271C">
              <w:rPr>
                <w:lang w:val="en-GB"/>
              </w:rPr>
              <w:lastRenderedPageBreak/>
              <w:t>Help Desk will be accessible by nominated people on SCs.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8A0F3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-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8A0F3C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A484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3. TO </w:t>
            </w:r>
            <w:proofErr w:type="spellStart"/>
            <w:r>
              <w:rPr>
                <w:lang w:val="en-GB"/>
              </w:rPr>
              <w:t>to</w:t>
            </w:r>
            <w:proofErr w:type="spellEnd"/>
            <w:r>
              <w:rPr>
                <w:lang w:val="en-GB"/>
              </w:rPr>
              <w:t xml:space="preserve"> send to AB a list of people participating in ETC12 on preparing amendments to EC8. FR noted there is no connection between ETC12 and SC8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Dec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A484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4. TO </w:t>
            </w:r>
            <w:proofErr w:type="spellStart"/>
            <w:r>
              <w:rPr>
                <w:lang w:val="en-GB"/>
              </w:rPr>
              <w:t>to</w:t>
            </w:r>
            <w:proofErr w:type="spellEnd"/>
            <w:r>
              <w:rPr>
                <w:lang w:val="en-GB"/>
              </w:rPr>
              <w:t xml:space="preserve"> provide an amended report on Athens for circulation 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Pr="00B41DEA" w:rsidRDefault="00BA484D" w:rsidP="002D7B9A">
            <w:pPr>
              <w:pStyle w:val="FieldText"/>
              <w:jc w:val="center"/>
            </w:pPr>
            <w:r>
              <w:t>TO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Dec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A484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5. EG1 Anchors: noted that Magnan and Littlejohn are in communication and a meeting between them is expected shortly. BS reported that a first draft of Section 8 is expected by end 2011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2D7B9A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41DEA" w:rsidP="00B41DE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A484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6. EG2 Maintenance and simplification: agreed that EG2 would seek to identify repetition and redundancy in Pts 1 and 2 and between Pts 1 and 2. Planning rules from Annex B of Pt 2 to be moved into normative text. Water pressure rules to be collected together (but defer to EG9)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Ongoing</w:t>
            </w:r>
          </w:p>
        </w:tc>
      </w:tr>
      <w:tr w:rsidR="00B41DE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A484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7. EG2: BS will review existing list of reported issues re EC7 and will allocate them to appropriate EGs. EG2 will pick up any that are not assigned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DEA" w:rsidRDefault="00BA484D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Ongoing</w:t>
            </w:r>
          </w:p>
        </w:tc>
      </w:tr>
      <w:tr w:rsidR="00BA484D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84D" w:rsidRDefault="00BA484D" w:rsidP="00BA484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8. EG3: TO reported that the next meeting will be held in Jan. TO </w:t>
            </w:r>
            <w:proofErr w:type="spellStart"/>
            <w:r>
              <w:rPr>
                <w:lang w:val="en-GB"/>
              </w:rPr>
              <w:t>to</w:t>
            </w:r>
            <w:proofErr w:type="spellEnd"/>
            <w:r>
              <w:rPr>
                <w:lang w:val="en-GB"/>
              </w:rPr>
              <w:t xml:space="preserve"> advise AB on additional members of EG3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84D" w:rsidRDefault="00BA484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84D" w:rsidRDefault="00BA484D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Dec</w:t>
            </w:r>
          </w:p>
        </w:tc>
      </w:tr>
      <w:tr w:rsidR="00BA484D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84D" w:rsidRDefault="00BA484D" w:rsidP="00BA484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9. Agreed that the maximum number of delegates from any one country on each EG would be three. Some EGs have now reached this limit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84D" w:rsidRDefault="00BA484D" w:rsidP="00B41DEA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84D" w:rsidRDefault="00BA484D" w:rsidP="00BA484D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BA484D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84D" w:rsidRDefault="00BA484D" w:rsidP="009D107B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10. EG8: AB to invite Sebastien</w:t>
            </w:r>
            <w:r w:rsidR="009D107B">
              <w:rPr>
                <w:lang w:val="en-GB"/>
              </w:rPr>
              <w:t xml:space="preserve"> </w:t>
            </w:r>
            <w:proofErr w:type="spellStart"/>
            <w:r w:rsidR="009D107B" w:rsidRPr="009D107B">
              <w:rPr>
                <w:lang w:val="en-GB"/>
              </w:rPr>
              <w:t>Burlon</w:t>
            </w:r>
            <w:proofErr w:type="spellEnd"/>
            <w:r w:rsidR="009D107B">
              <w:rPr>
                <w:lang w:val="en-GB"/>
              </w:rPr>
              <w:t xml:space="preserve"> to represent France on EG8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84D" w:rsidRDefault="009D107B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84D" w:rsidRDefault="009D107B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Dec</w:t>
            </w:r>
          </w:p>
        </w:tc>
      </w:tr>
      <w:tr w:rsidR="009D107B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9D107B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11. EG5: AB to chase Martin Vanicek re progress of this group. RF to assist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Dec</w:t>
            </w:r>
          </w:p>
        </w:tc>
      </w:tr>
      <w:tr w:rsidR="009D107B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9D107B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12. EG12: AB to progress establishment of EG12 Tunnelling, following discussion at Prague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Jan</w:t>
            </w:r>
          </w:p>
        </w:tc>
      </w:tr>
      <w:tr w:rsidR="009D107B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9D107B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13. LB reported that the Letter of Invitation to the next SC7 meeting will go out soon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Dec</w:t>
            </w:r>
          </w:p>
        </w:tc>
      </w:tr>
      <w:tr w:rsidR="009D107B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9D107B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14. LB to upload EG documents to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 xml:space="preserve"> as soon as his assistant is back at work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9D107B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9D107B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15. AB/LB to review/revise draft Agenda to next SC7 meeting. More time to be allocated for EG reports; less time for National Reports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9D107B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9D107B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16. Discussion of JRC request for SC7 to organise a seminar on Eurocode 7. No payment for preparation time is being offered by JRC. RF to write to Pinto advising that SC7 cannot arrange such a seminar owing to the complexity caused by the Design Approaches etc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Dec</w:t>
            </w:r>
          </w:p>
        </w:tc>
      </w:tr>
      <w:tr w:rsidR="009D107B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9D107B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17. Date of next meeting agreed for Monday 16</w:t>
            </w:r>
            <w:r w:rsidRPr="009D107B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Jan at 9am GMT/10 am CET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A484D">
            <w:pPr>
              <w:pStyle w:val="FieldText"/>
              <w:jc w:val="center"/>
              <w:rPr>
                <w:lang w:val="en-GB"/>
              </w:rPr>
            </w:pPr>
          </w:p>
        </w:tc>
      </w:tr>
    </w:tbl>
    <w:p w:rsidR="00B27652" w:rsidRDefault="00B27652">
      <w:pPr>
        <w:rPr>
          <w:lang w:val="en-GB"/>
        </w:rPr>
      </w:pPr>
      <w:bookmarkStart w:id="3" w:name="MinuteAdditional"/>
      <w:bookmarkEnd w:id="2"/>
      <w:bookmarkEnd w:id="3"/>
    </w:p>
    <w:sectPr w:rsidR="00B27652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26265"/>
    <w:rsid w:val="000C7F80"/>
    <w:rsid w:val="001F5CE5"/>
    <w:rsid w:val="00200CA4"/>
    <w:rsid w:val="00211623"/>
    <w:rsid w:val="002353C8"/>
    <w:rsid w:val="002C7B6D"/>
    <w:rsid w:val="002D7B9A"/>
    <w:rsid w:val="003D3581"/>
    <w:rsid w:val="00436962"/>
    <w:rsid w:val="00466B5C"/>
    <w:rsid w:val="004E35AF"/>
    <w:rsid w:val="005469B1"/>
    <w:rsid w:val="00550785"/>
    <w:rsid w:val="007429B0"/>
    <w:rsid w:val="00776178"/>
    <w:rsid w:val="00790771"/>
    <w:rsid w:val="0080429C"/>
    <w:rsid w:val="00853056"/>
    <w:rsid w:val="0089271C"/>
    <w:rsid w:val="008A0F3C"/>
    <w:rsid w:val="008F3CB5"/>
    <w:rsid w:val="00900EB4"/>
    <w:rsid w:val="00940362"/>
    <w:rsid w:val="00982F6B"/>
    <w:rsid w:val="0099731D"/>
    <w:rsid w:val="009D107B"/>
    <w:rsid w:val="009E527D"/>
    <w:rsid w:val="00A121B4"/>
    <w:rsid w:val="00A35F49"/>
    <w:rsid w:val="00A63423"/>
    <w:rsid w:val="00A75BF7"/>
    <w:rsid w:val="00A90DA2"/>
    <w:rsid w:val="00B27652"/>
    <w:rsid w:val="00B41DEA"/>
    <w:rsid w:val="00BA484D"/>
    <w:rsid w:val="00C764BB"/>
    <w:rsid w:val="00D30C9C"/>
    <w:rsid w:val="00D43E21"/>
    <w:rsid w:val="00D9202B"/>
    <w:rsid w:val="00E66BE2"/>
    <w:rsid w:val="00E746A5"/>
    <w:rsid w:val="00EF1DEC"/>
    <w:rsid w:val="00FB039F"/>
    <w:rsid w:val="00FB1334"/>
    <w:rsid w:val="00FB18F3"/>
    <w:rsid w:val="00FF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141</TotalTime>
  <Pages>2</Pages>
  <Words>769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Andrew Bond</dc:creator>
  <cp:keywords/>
  <dc:description/>
  <cp:lastModifiedBy> Andrew Bond</cp:lastModifiedBy>
  <cp:revision>7</cp:revision>
  <cp:lastPrinted>2011-12-12T08:44:00Z</cp:lastPrinted>
  <dcterms:created xsi:type="dcterms:W3CDTF">2011-12-12T08:33:00Z</dcterms:created>
  <dcterms:modified xsi:type="dcterms:W3CDTF">2011-12-14T15:11:00Z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